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26.08.2022 N 774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23.01.08 Слесарь по ремонту строительных машин"</w:t>
              <w:br/>
              <w:t xml:space="preserve">(Зарегистрировано в Минюсте России 29.09.2022 N 70280)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сентября 2022 г. N 70280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26 августа 2022 г. N 774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23.01.08 СЛЕСАРЬ ПО РЕМОНТУ СТРОИТЕЛЬНЫХ МАШИН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23.01.08 Слесарь по ремонту строительных машин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2.08.2013 N 699 (ред. от 13.07.2021) &quot;Об утверждении федерального государственного образовательного стандарта среднего профессионального образования по профессии 190629.08 Слесарь по ремонту строительных машин&quot; (Зарегистрировано в Минюсте России 20.08.2013 N 2959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</w:t>
      </w:r>
      <w:hyperlink w:history="0" r:id="rId10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190629.08</w:t>
        </w:r>
      </w:hyperlink>
      <w:r>
        <w:rPr>
          <w:sz w:val="20"/>
        </w:rPr>
        <w:t xml:space="preserve"> Слесарь по ремонту строительных машин, утвержденным приказом Министерства образования и науки Российской Федерации от 2 августа 2013 г. N 699 (зарегистрирован Министерством юстиции Российской Федерации 20 августа 2013 г., регистрационный N 29590), с изменениями, внесенными приказом Министерства образования и науки Российской Федерации от 9 апреля 2015 г. N 389 (зарегистрирован Министерством юстиции Российской Федерации 8 мая 2015 г., регистрационный N 37216)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августа 2022 г. N 774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23.01.08 СЛЕСАРЬ ПО РЕМОНТУ СТРОИТЕЛЬНЫХ МАШИН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23.01.08</w:t>
        </w:r>
      </w:hyperlink>
      <w:r>
        <w:rPr>
          <w:sz w:val="20"/>
        </w:rPr>
        <w:t xml:space="preserve"> Слесарь по ремонту строительных машин (далее соответственно - ФГОС СПО, образовательная программа, профессия) в соответствии с квалификацией квалифицированного рабочего, служащего "слесарь по ремонту строительных машин"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программе, вне зависимости от применяемых образовательных технологий,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- 1 год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1" w:tooltip="1.9. Срок получения образования по образовательной программе, вне зависимости от применяемых образовательных технологий,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Транспорт,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 Производство машин и оборудования,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Автомобилестроение,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 Сквозные виды деятельности в промышленности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2" w:tooltip="Таблица N 1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bookmarkStart w:id="82" w:name="P82"/>
    <w:bookmarkEnd w:id="82"/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8"/>
        <w:gridCol w:w="4251"/>
      </w:tblGrid>
      <w:tr>
        <w:tc>
          <w:tcPr>
            <w:tcW w:w="48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81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25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612</w:t>
            </w:r>
          </w:p>
        </w:tc>
      </w:tr>
      <w:tr>
        <w:tc>
          <w:tcPr>
            <w:tcW w:w="481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25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481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25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9069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81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25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481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29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 и ремонт систем, узлов, агрегатов строительных машин;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 и ремонт систем, узлов, приборов автомобилей;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 и ремонт систем, узлов, приборов автомобилей и строительных машин при проведении подготовительных, сборочных операций перед сваркой, зачистки и контроля сварных швов после сварки;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09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"Материаловедение", "Черчение", "Электротехника".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09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23.01.08 Слесарь по ремонту строительных машин (далее соответственно - ФГОС СПО, образовательная программа, профессия) в соответствии с квалификацией квалифицированного рабочего, служащего &quot;слесар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29" w:name="P129"/>
    <w:bookmarkEnd w:id="129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09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.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6349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деятельности</w:t>
            </w:r>
          </w:p>
        </w:tc>
        <w:tc>
          <w:tcPr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систем, узлов, агрегатов строительных машин (по выбору)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Осматривать техническое состояние систем, агрегатов и узлов строительных машин для проверки готовности оборудования к предстоящему сезону эксплуатации.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Осуществлять комплекс мероприятий по демонтажу и ремонту систем, агрегатов и узлов строительных машин для устранения обнаруженных неисправностей.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1.3. Выполнять комплекс мероприятий по сборке, регулировке и испытанию систем, агрегатов и узлов строительных машин, для оценки качества выполненных работ.</w:t>
            </w:r>
          </w:p>
        </w:tc>
      </w:tr>
      <w:tr>
        <w:tc>
          <w:tcPr>
            <w:tcW w:w="27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систем, узлов, приборов автомобилей (по выбору)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Определять техническое состояние систем, агрегатов, узлов, приборов автомобилей для сохранения работоспособности, предупреждения отказов и неисправностей.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Осуществлять комплекс мероприятий по демонтажу и ремонту систем, агрегатов и узлов автомобилей для устранения обнаруженных неисправностей.</w:t>
            </w:r>
          </w:p>
        </w:tc>
      </w:tr>
      <w:tr>
        <w:tc>
          <w:tcPr>
            <w:vMerge w:val="continue"/>
          </w:tcPr>
          <w:p/>
        </w:tc>
        <w:tc>
          <w:tcPr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ПК 1.3. Выполнять комплекс мероприятий по сборке, регулировке и испытанию систем, агрегатов и узлов автомобилей, для оценки качества выполненных работ.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систем, узлов, приборов автомобилей и строительных машин при проведении подготовительных, сборочных операций перед сваркой, зачистки и контроля сварных швов после сварки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Определять техническое состояние систем, агрегатов, узлов, приборов автомобилей и строительных машин, для сохранения работоспособности, предупреждения отказов и неисправностей.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Применять различные методы, способы и приемы сборки перед сваркой и сварки элементов конструкции автомобилей и строительных машин, с сохранением эксплуатационных свойств.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Выполнять техническую подготовку сварочного производства перед сваркой элементов конструкции автомобилей и строительных машин при ремонте, для качественного выполнения сварочных работ.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Выбирать оборудование, приспособления и инструменты для обеспечения производства сварных соединений с заданными свойствами, сохраняя работоспособное состояние автомобилей и строительных машин.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2.5. Хранить и использовать сварочную аппаратуру и инструменты в ходе производственного процесса.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Определять причины, приводящие к дефектам в сварных соединениях конструкции автомобилей и строительных машин при ремонте.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2.7. Предупреждать дефекты сварных соединений элементов конструкции автомобилей и строительных машин, для получения качественной продукции.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2.8. Оформлять документацию по контролю качества сварных швов после сварки элементов конструкции автомобилей и строительных машин.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систем, узлов, приборов автомобилей и строительных машин при выполнении ручной дуговой сварки плавящимся покрытым электродом</w:t>
            </w:r>
          </w:p>
        </w:tc>
        <w:tc>
          <w:tcPr>
            <w:tcW w:w="634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Выполнять ручную дуговую сварку различных деталей из сплавов металлов во всех пространственных положениях сварного шва.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3.3. Выполнять ручную дуговую наплавку покрытым электродом различных деталей.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3.4. Выполнять ручную дуговую резку металла плавящимся покрытым электродом.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09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w:history="0" r:id="rId22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4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7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6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7 Транспорт, 28 Производство машин и оборудования, 31 Автомобилестроение, 40 Сквозные виды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6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7 Транспорт, 28 Производство машин и оборудования, 31 Автомобилестроение, 40 Сквозные виды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68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7 Транспорт, 28 Производство машин и оборудования, 31 Автомобилестроение, 40 Сквозные виды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9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5231).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Официальный интернет-портал правовой информации (</w:t>
      </w:r>
      <w:r>
        <w:rPr>
          <w:sz w:val="20"/>
        </w:rPr>
        <w:t xml:space="preserve">www.pravo.gov.ru</w:t>
      </w:r>
      <w:r>
        <w:rPr>
          <w:sz w:val="20"/>
        </w:rPr>
        <w:t xml:space="preserve">), 2022, 14 июля, N 0001202207140056.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26.08.2022 N 774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024C0C096CEB0D97F31CEF4FA24CDCC94CD89BF445350394679DCB36B386724BE2F44BF201C4EF21460A45503B0059BDD3A0E9822FFA92Ds3H9M" TargetMode = "External"/>
	<Relationship Id="rId8" Type="http://schemas.openxmlformats.org/officeDocument/2006/relationships/hyperlink" Target="consultantplus://offline/ref=3024C0C096CEB0D97F31CEF4FA24CDCC93C781BC455750394679DCB36B386724BE2F44BF201C4EF01760A45503B0059BDD3A0E9822FFA92Ds3H9M" TargetMode = "External"/>
	<Relationship Id="rId9" Type="http://schemas.openxmlformats.org/officeDocument/2006/relationships/hyperlink" Target="consultantplus://offline/ref=3024C0C096CEB0D97F31CEF4FA24CDCC93C780BA405750394679DCB36B386724BE2F44BF201C4EF61760A45503B0059BDD3A0E9822FFA92Ds3H9M" TargetMode = "External"/>
	<Relationship Id="rId10" Type="http://schemas.openxmlformats.org/officeDocument/2006/relationships/hyperlink" Target="consultantplus://offline/ref=3024C0C096CEB0D97F31CEF4FA24CDCC91CC8FB9495150394679DCB36B386724BE2F44BC26171AA6513EFD0541FB0998C5260F98s3HEM" TargetMode = "External"/>
	<Relationship Id="rId11" Type="http://schemas.openxmlformats.org/officeDocument/2006/relationships/hyperlink" Target="consultantplus://offline/ref=3024C0C096CEB0D97F31CEF4FA24CDCC93C98FB8405750394679DCB36B386724BE2F44BF201C4BF01560A45503B0059BDD3A0E9822FFA92Ds3H9M" TargetMode = "External"/>
	<Relationship Id="rId12" Type="http://schemas.openxmlformats.org/officeDocument/2006/relationships/hyperlink" Target="consultantplus://offline/ref=3024C0C096CEB0D97F31CEF4FA24CDCC94CF81B8445450394679DCB36B386724BE2F44BF201C4BF11760A45503B0059BDD3A0E9822FFA92Ds3H9M" TargetMode = "External"/>
	<Relationship Id="rId13" Type="http://schemas.openxmlformats.org/officeDocument/2006/relationships/hyperlink" Target="consultantplus://offline/ref=3024C0C096CEB0D97F31CEF4FA24CDCC94CC8EBA455350394679DCB36B386724BE2F44BA2B481FB34066F10259E40A84D9240Ds9H8M" TargetMode = "External"/>
	<Relationship Id="rId14" Type="http://schemas.openxmlformats.org/officeDocument/2006/relationships/hyperlink" Target="consultantplus://offline/ref=3024C0C096CEB0D97F31CEF4FA24CDCC94CC8EBA455350394679DCB36B386724BE2F44BA2B481FB34066F10259E40A84D9240Ds9H8M" TargetMode = "External"/>
	<Relationship Id="rId15" Type="http://schemas.openxmlformats.org/officeDocument/2006/relationships/hyperlink" Target="consultantplus://offline/ref=3024C0C096CEB0D97F31CEF4FA24CDCC94CD8BBB425350394679DCB36B386724BE2F44BA241A45A3442FA50946E3169BD93A0D9A3EsFHFM" TargetMode = "External"/>
	<Relationship Id="rId16" Type="http://schemas.openxmlformats.org/officeDocument/2006/relationships/hyperlink" Target="consultantplus://offline/ref=3024C0C096CEB0D97F31CEF4FA24CDCC94CD8BBB425350394679DCB36B386724BE2F44BF201C4CF31C60A45503B0059BDD3A0E9822FFA92Ds3H9M" TargetMode = "External"/>
	<Relationship Id="rId17" Type="http://schemas.openxmlformats.org/officeDocument/2006/relationships/hyperlink" Target="consultantplus://offline/ref=3024C0C096CEB0D97F31CEF4FA24CDCC92CF8CB8435550394679DCB36B386724BE2F44BF201C4EFF1760A45503B0059BDD3A0E9822FFA92Ds3H9M" TargetMode = "External"/>
	<Relationship Id="rId18" Type="http://schemas.openxmlformats.org/officeDocument/2006/relationships/hyperlink" Target="consultantplus://offline/ref=3024C0C096CEB0D97F31CEF4FA24CDCC92CF8CB8435550394679DCB36B386724BE2F44BF201C4FF71160A45503B0059BDD3A0E9822FFA92Ds3H9M" TargetMode = "External"/>
	<Relationship Id="rId19" Type="http://schemas.openxmlformats.org/officeDocument/2006/relationships/hyperlink" Target="consultantplus://offline/ref=3024C0C096CEB0D97F31CEF4FA24CDCC92CF8CB8435550394679DCB36B386724BE2F44BF201C4FF61560A45503B0059BDD3A0E9822FFA92Ds3H9M" TargetMode = "External"/>
	<Relationship Id="rId20" Type="http://schemas.openxmlformats.org/officeDocument/2006/relationships/hyperlink" Target="consultantplus://offline/ref=3024C0C096CEB0D97F31CEF4FA24CDCC92CF8CB8435550394679DCB36B386724BE2F44BF201C4FF61360A45503B0059BDD3A0E9822FFA92Ds3H9M" TargetMode = "External"/>
	<Relationship Id="rId21" Type="http://schemas.openxmlformats.org/officeDocument/2006/relationships/hyperlink" Target="consultantplus://offline/ref=3024C0C096CEB0D97F31CEF4FA24CDCC92CF8CB8435550394679DCB36B386724BE2F44BF201C4EF31260A45503B0059BDD3A0E9822FFA92Ds3H9M" TargetMode = "External"/>
	<Relationship Id="rId22" Type="http://schemas.openxmlformats.org/officeDocument/2006/relationships/hyperlink" Target="consultantplus://offline/ref=3024C0C096CEB0D97F31CEF4FA24CDCC93C681B7435650394679DCB36B386724BE2F44BF201C4EF61760A45503B0059BDD3A0E9822FFA92Ds3H9M" TargetMode = "External"/>
	<Relationship Id="rId23" Type="http://schemas.openxmlformats.org/officeDocument/2006/relationships/hyperlink" Target="consultantplus://offline/ref=3024C0C096CEB0D97F31CEF4FA24CDCC94CD8BBB425350394679DCB36B386724BE2F44BA211945A3442FA50946E3169BD93A0D9A3EsFHFM" TargetMode = "External"/>
	<Relationship Id="rId24" Type="http://schemas.openxmlformats.org/officeDocument/2006/relationships/hyperlink" Target="consultantplus://offline/ref=3024C0C096CEB0D97F31CEF4FA24CDCC94CD88B9435150394679DCB36B386724AC2F1CB3211A50F61775F20445sEH7M" TargetMode = "External"/>
	<Relationship Id="rId25" Type="http://schemas.openxmlformats.org/officeDocument/2006/relationships/hyperlink" Target="consultantplus://offline/ref=3024C0C096CEB0D97F31CEF4FA24CDCC93C989BA485150394679DCB36B386724BE2F44BF201C4EF31260A45503B0059BDD3A0E9822FFA92Ds3H9M" TargetMode = "External"/>
	<Relationship Id="rId26" Type="http://schemas.openxmlformats.org/officeDocument/2006/relationships/hyperlink" Target="consultantplus://offline/ref=3024C0C096CEB0D97F31CEF4FA24CDCC93C88FBA475150394679DCB36B386724BE2F44BF201C4EF41260A45503B0059BDD3A0E9822FFA92Ds3H9M" TargetMode = "External"/>
	<Relationship Id="rId27" Type="http://schemas.openxmlformats.org/officeDocument/2006/relationships/hyperlink" Target="consultantplus://offline/ref=3024C0C096CEB0D97F31CEF4FA24CDCC93C98DB7425C50394679DCB36B386724BE2F44BF201C4FF41260A45503B0059BDD3A0E9822FFA92Ds3H9M" TargetMode = "External"/>
	<Relationship Id="rId28" Type="http://schemas.openxmlformats.org/officeDocument/2006/relationships/hyperlink" Target="consultantplus://offline/ref=3024C0C096CEB0D97F31CEF4FA24CDCC94CD8BBB425350394679DCB36B386724AC2F1CB3211A50F61775F20445sEH7M" TargetMode = "External"/>
	<Relationship Id="rId29" Type="http://schemas.openxmlformats.org/officeDocument/2006/relationships/hyperlink" Target="consultantplus://offline/ref=3024C0C096CEB0D97F31CEF4FA24CDCC94CD89B7495D50394679DCB36B386724AC2F1CB3211A50F61775F20445sEH7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26.08.2022 N 774
"Об утверждении федерального государственного образовательного стандарта среднего профессионального образования по профессии 23.01.08 Слесарь по ремонту строительных машин"
(Зарегистрировано в Минюсте России 29.09.2022 N 70280)</dc:title>
  <dcterms:created xsi:type="dcterms:W3CDTF">2022-12-16T12:07:43Z</dcterms:created>
</cp:coreProperties>
</file>